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8C2" w:rsidRDefault="006638C2">
      <w:pPr>
        <w:pStyle w:val="Tytu"/>
        <w:jc w:val="center"/>
        <w:rPr>
          <w:rFonts w:cstheme="majorHAnsi"/>
          <w:sz w:val="24"/>
          <w:szCs w:val="24"/>
        </w:rPr>
      </w:pPr>
    </w:p>
    <w:p w:rsidR="006638C2" w:rsidRDefault="006638C2">
      <w:pPr>
        <w:pStyle w:val="Tytu"/>
        <w:jc w:val="center"/>
        <w:rPr>
          <w:rFonts w:cstheme="majorHAnsi"/>
          <w:sz w:val="24"/>
          <w:szCs w:val="24"/>
        </w:rPr>
      </w:pPr>
    </w:p>
    <w:p w:rsidR="00490CA8" w:rsidRPr="009D618A" w:rsidRDefault="00CF2E23" w:rsidP="00912EFF">
      <w:pPr>
        <w:pStyle w:val="Tytu"/>
        <w:jc w:val="center"/>
        <w:rPr>
          <w:rFonts w:cstheme="majorHAnsi"/>
          <w:sz w:val="28"/>
          <w:szCs w:val="28"/>
          <w:lang w:val="pl-PL"/>
        </w:rPr>
      </w:pPr>
      <w:r w:rsidRPr="009D618A">
        <w:rPr>
          <w:rFonts w:cstheme="majorHAnsi"/>
          <w:sz w:val="28"/>
          <w:szCs w:val="28"/>
          <w:lang w:val="pl-PL"/>
        </w:rPr>
        <w:t>Załącznik nr 1a Szczegółowy opis przedmiotu zamówienia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851"/>
        <w:gridCol w:w="2835"/>
        <w:gridCol w:w="1276"/>
        <w:gridCol w:w="5238"/>
      </w:tblGrid>
      <w:tr w:rsidR="00490CA8" w:rsidRPr="006638C2" w:rsidTr="006638C2">
        <w:trPr>
          <w:tblHeader/>
          <w:jc w:val="center"/>
        </w:trPr>
        <w:tc>
          <w:tcPr>
            <w:tcW w:w="851" w:type="dxa"/>
            <w:shd w:val="clear" w:color="auto" w:fill="D9EAF7"/>
            <w:vAlign w:val="center"/>
          </w:tcPr>
          <w:p w:rsidR="00490CA8" w:rsidRPr="006638C2" w:rsidRDefault="006638C2">
            <w:pPr>
              <w:spacing w:after="2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4"/>
              </w:rPr>
              <w:t>L.P</w:t>
            </w:r>
          </w:p>
        </w:tc>
        <w:tc>
          <w:tcPr>
            <w:tcW w:w="2835" w:type="dxa"/>
            <w:shd w:val="clear" w:color="auto" w:fill="D9EAF7"/>
            <w:vAlign w:val="center"/>
          </w:tcPr>
          <w:p w:rsidR="00490CA8" w:rsidRPr="006638C2" w:rsidRDefault="00CF2E23">
            <w:pPr>
              <w:spacing w:after="20"/>
              <w:rPr>
                <w:rFonts w:asciiTheme="majorHAnsi" w:hAnsiTheme="majorHAnsi" w:cstheme="majorHAnsi"/>
                <w:sz w:val="24"/>
                <w:szCs w:val="24"/>
              </w:rPr>
            </w:pPr>
            <w:r w:rsidRPr="006638C2">
              <w:rPr>
                <w:rFonts w:asciiTheme="majorHAnsi" w:hAnsiTheme="majorHAnsi" w:cstheme="majorHAnsi"/>
                <w:b/>
                <w:sz w:val="24"/>
                <w:szCs w:val="24"/>
              </w:rPr>
              <w:t>Przedmiot</w:t>
            </w:r>
          </w:p>
        </w:tc>
        <w:tc>
          <w:tcPr>
            <w:tcW w:w="1276" w:type="dxa"/>
            <w:shd w:val="clear" w:color="auto" w:fill="D9EAF7"/>
            <w:vAlign w:val="center"/>
          </w:tcPr>
          <w:p w:rsidR="00490CA8" w:rsidRPr="006638C2" w:rsidRDefault="00CF2E23">
            <w:pPr>
              <w:spacing w:after="20"/>
              <w:rPr>
                <w:rFonts w:asciiTheme="majorHAnsi" w:hAnsiTheme="majorHAnsi" w:cstheme="majorHAnsi"/>
                <w:sz w:val="24"/>
                <w:szCs w:val="24"/>
              </w:rPr>
            </w:pPr>
            <w:r w:rsidRPr="006638C2">
              <w:rPr>
                <w:rFonts w:asciiTheme="majorHAnsi" w:hAnsiTheme="majorHAnsi" w:cstheme="majorHAnsi"/>
                <w:b/>
                <w:sz w:val="24"/>
                <w:szCs w:val="24"/>
              </w:rPr>
              <w:t>Ilość</w:t>
            </w:r>
          </w:p>
        </w:tc>
        <w:tc>
          <w:tcPr>
            <w:tcW w:w="5238" w:type="dxa"/>
            <w:shd w:val="clear" w:color="auto" w:fill="D9EAF7"/>
            <w:vAlign w:val="center"/>
          </w:tcPr>
          <w:p w:rsidR="00490CA8" w:rsidRPr="006638C2" w:rsidRDefault="00CF2E23">
            <w:pPr>
              <w:spacing w:after="20"/>
              <w:rPr>
                <w:rFonts w:asciiTheme="majorHAnsi" w:hAnsiTheme="majorHAnsi" w:cstheme="majorHAnsi"/>
                <w:sz w:val="24"/>
                <w:szCs w:val="24"/>
              </w:rPr>
            </w:pPr>
            <w:r w:rsidRPr="006638C2">
              <w:rPr>
                <w:rFonts w:asciiTheme="majorHAnsi" w:hAnsiTheme="majorHAnsi" w:cstheme="majorHAnsi"/>
                <w:b/>
                <w:sz w:val="24"/>
                <w:szCs w:val="24"/>
              </w:rPr>
              <w:t>Minimalne wymagania</w:t>
            </w:r>
          </w:p>
        </w:tc>
      </w:tr>
      <w:tr w:rsidR="00490CA8" w:rsidRPr="009D618A" w:rsidTr="006638C2">
        <w:trPr>
          <w:jc w:val="center"/>
        </w:trPr>
        <w:tc>
          <w:tcPr>
            <w:tcW w:w="851" w:type="dxa"/>
            <w:vAlign w:val="center"/>
          </w:tcPr>
          <w:p w:rsidR="00490CA8" w:rsidRPr="006638C2" w:rsidRDefault="00CF2E23">
            <w:pPr>
              <w:spacing w:after="20"/>
              <w:rPr>
                <w:rFonts w:asciiTheme="majorHAnsi" w:hAnsiTheme="majorHAnsi" w:cstheme="majorHAnsi"/>
                <w:sz w:val="24"/>
                <w:szCs w:val="24"/>
              </w:rPr>
            </w:pPr>
            <w:r w:rsidRPr="006638C2"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  <w:tc>
          <w:tcPr>
            <w:tcW w:w="2835" w:type="dxa"/>
            <w:vAlign w:val="center"/>
          </w:tcPr>
          <w:p w:rsidR="00490CA8" w:rsidRPr="009D618A" w:rsidRDefault="009D618A">
            <w:pPr>
              <w:spacing w:after="20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B24E80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Fotel ginekologiczny z regulowaną wysokością</w:t>
            </w:r>
          </w:p>
        </w:tc>
        <w:tc>
          <w:tcPr>
            <w:tcW w:w="1276" w:type="dxa"/>
            <w:vAlign w:val="center"/>
          </w:tcPr>
          <w:p w:rsidR="00490CA8" w:rsidRPr="006638C2" w:rsidRDefault="00CF2E23">
            <w:pPr>
              <w:spacing w:after="20"/>
              <w:rPr>
                <w:rFonts w:asciiTheme="majorHAnsi" w:hAnsiTheme="majorHAnsi" w:cstheme="majorHAnsi"/>
                <w:sz w:val="24"/>
                <w:szCs w:val="24"/>
              </w:rPr>
            </w:pPr>
            <w:r w:rsidRPr="006638C2">
              <w:rPr>
                <w:rFonts w:asciiTheme="majorHAnsi" w:hAnsiTheme="majorHAnsi" w:cstheme="majorHAnsi"/>
                <w:sz w:val="24"/>
                <w:szCs w:val="24"/>
              </w:rPr>
              <w:t xml:space="preserve">1 </w:t>
            </w:r>
            <w:proofErr w:type="spellStart"/>
            <w:r w:rsidRPr="006638C2">
              <w:rPr>
                <w:rFonts w:asciiTheme="majorHAnsi" w:hAnsiTheme="majorHAnsi" w:cstheme="majorHAnsi"/>
                <w:sz w:val="24"/>
                <w:szCs w:val="24"/>
              </w:rPr>
              <w:t>szt</w:t>
            </w:r>
            <w:proofErr w:type="spellEnd"/>
            <w:r w:rsidRPr="006638C2">
              <w:rPr>
                <w:rFonts w:asciiTheme="majorHAnsi" w:hAnsiTheme="majorHAnsi" w:cstheme="majorHAnsi"/>
                <w:sz w:val="24"/>
                <w:szCs w:val="24"/>
              </w:rPr>
              <w:t>.</w:t>
            </w:r>
          </w:p>
        </w:tc>
        <w:tc>
          <w:tcPr>
            <w:tcW w:w="5238" w:type="dxa"/>
            <w:vAlign w:val="center"/>
          </w:tcPr>
          <w:p w:rsidR="00490CA8" w:rsidRPr="009D618A" w:rsidRDefault="00CF2E23">
            <w:pPr>
              <w:spacing w:after="20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9D618A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 xml:space="preserve">wyrób medyczny przeznaczony do badań i zabiegów ginekologicznych; udźwig min. 180 kg; elektryczna regulacja wysokości, dolna pozycja maks. 650 mm; elektryczna regulacja oparcia min. 0-70°; pozycja </w:t>
            </w:r>
            <w:proofErr w:type="spellStart"/>
            <w:r w:rsidRPr="009D618A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Trendelenburga</w:t>
            </w:r>
            <w:proofErr w:type="spellEnd"/>
            <w:r w:rsidRPr="009D618A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 xml:space="preserve"> min. 15°; szerokość powierzchni min. 580 mm; regulowane podpórki nóg; podłokietniki odchylane lub zdejmowane; uchwyt na rolkę podkładu; misa ze stali nierdzewnej lub równoważnego materiału; sterowanie nożne lub ręczne; tapicerka bezszwowa, zmywalna i odporna na środki dezynfekcyjne; zasilanie 230 V; deklaracja zgodności UE i CE</w:t>
            </w:r>
          </w:p>
        </w:tc>
      </w:tr>
      <w:tr w:rsidR="00490CA8" w:rsidRPr="009D618A" w:rsidTr="006638C2">
        <w:trPr>
          <w:jc w:val="center"/>
        </w:trPr>
        <w:tc>
          <w:tcPr>
            <w:tcW w:w="851" w:type="dxa"/>
            <w:vAlign w:val="center"/>
          </w:tcPr>
          <w:p w:rsidR="00490CA8" w:rsidRPr="006638C2" w:rsidRDefault="00CF2E23">
            <w:pPr>
              <w:spacing w:after="20"/>
              <w:rPr>
                <w:rFonts w:asciiTheme="majorHAnsi" w:hAnsiTheme="majorHAnsi" w:cstheme="majorHAnsi"/>
                <w:sz w:val="24"/>
                <w:szCs w:val="24"/>
              </w:rPr>
            </w:pPr>
            <w:r w:rsidRPr="006638C2">
              <w:rPr>
                <w:rFonts w:asciiTheme="majorHAnsi" w:hAnsiTheme="majorHAnsi" w:cstheme="majorHAnsi"/>
                <w:sz w:val="24"/>
                <w:szCs w:val="24"/>
              </w:rPr>
              <w:t>2</w:t>
            </w:r>
          </w:p>
        </w:tc>
        <w:tc>
          <w:tcPr>
            <w:tcW w:w="2835" w:type="dxa"/>
            <w:vAlign w:val="center"/>
          </w:tcPr>
          <w:p w:rsidR="00490CA8" w:rsidRPr="009D618A" w:rsidRDefault="009D618A">
            <w:pPr>
              <w:spacing w:after="20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B24E80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Fotel do pobrań z regulacją wysokości</w:t>
            </w:r>
          </w:p>
        </w:tc>
        <w:tc>
          <w:tcPr>
            <w:tcW w:w="1276" w:type="dxa"/>
            <w:vAlign w:val="center"/>
          </w:tcPr>
          <w:p w:rsidR="00490CA8" w:rsidRPr="006638C2" w:rsidRDefault="00CF2E23">
            <w:pPr>
              <w:spacing w:after="20"/>
              <w:rPr>
                <w:rFonts w:asciiTheme="majorHAnsi" w:hAnsiTheme="majorHAnsi" w:cstheme="majorHAnsi"/>
                <w:sz w:val="24"/>
                <w:szCs w:val="24"/>
              </w:rPr>
            </w:pPr>
            <w:r w:rsidRPr="006638C2">
              <w:rPr>
                <w:rFonts w:asciiTheme="majorHAnsi" w:hAnsiTheme="majorHAnsi" w:cstheme="majorHAnsi"/>
                <w:sz w:val="24"/>
                <w:szCs w:val="24"/>
              </w:rPr>
              <w:t xml:space="preserve">1 </w:t>
            </w:r>
            <w:proofErr w:type="spellStart"/>
            <w:r w:rsidRPr="006638C2">
              <w:rPr>
                <w:rFonts w:asciiTheme="majorHAnsi" w:hAnsiTheme="majorHAnsi" w:cstheme="majorHAnsi"/>
                <w:sz w:val="24"/>
                <w:szCs w:val="24"/>
              </w:rPr>
              <w:t>szt</w:t>
            </w:r>
            <w:proofErr w:type="spellEnd"/>
            <w:r w:rsidRPr="006638C2">
              <w:rPr>
                <w:rFonts w:asciiTheme="majorHAnsi" w:hAnsiTheme="majorHAnsi" w:cstheme="majorHAnsi"/>
                <w:sz w:val="24"/>
                <w:szCs w:val="24"/>
              </w:rPr>
              <w:t>.</w:t>
            </w:r>
          </w:p>
        </w:tc>
        <w:tc>
          <w:tcPr>
            <w:tcW w:w="5238" w:type="dxa"/>
            <w:vAlign w:val="center"/>
          </w:tcPr>
          <w:p w:rsidR="00490CA8" w:rsidRPr="009D618A" w:rsidRDefault="00CF2E23">
            <w:pPr>
              <w:spacing w:after="20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9D618A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udźwig min. 150 kg; elektryczna regulacja wysokości w zakresie obejmującym co najmniej 500-850 mm; regulowane oparcie; pozycja leżąca lub przeciwwstrząsowa; dwa podłokietniki z regulacją położenia, umożliwiające pobranie krwi z obu stron; podstawa stabilna, koła z blokadą lub centralnym hamulcem; tapicerka bezszwowa, zmywalna, odporna na dezynfekcję; sterowanie dostępne dla personelu; zasilanie 230 V</w:t>
            </w:r>
          </w:p>
        </w:tc>
      </w:tr>
      <w:tr w:rsidR="00490CA8" w:rsidRPr="009D618A" w:rsidTr="006638C2">
        <w:trPr>
          <w:jc w:val="center"/>
        </w:trPr>
        <w:tc>
          <w:tcPr>
            <w:tcW w:w="851" w:type="dxa"/>
            <w:vAlign w:val="center"/>
          </w:tcPr>
          <w:p w:rsidR="00490CA8" w:rsidRPr="006638C2" w:rsidRDefault="00CF2E23">
            <w:pPr>
              <w:spacing w:after="20"/>
              <w:rPr>
                <w:rFonts w:asciiTheme="majorHAnsi" w:hAnsiTheme="majorHAnsi" w:cstheme="majorHAnsi"/>
                <w:sz w:val="24"/>
                <w:szCs w:val="24"/>
              </w:rPr>
            </w:pPr>
            <w:r w:rsidRPr="006638C2">
              <w:rPr>
                <w:rFonts w:asciiTheme="majorHAnsi" w:hAnsiTheme="majorHAnsi" w:cstheme="majorHAnsi"/>
                <w:sz w:val="24"/>
                <w:szCs w:val="24"/>
              </w:rPr>
              <w:t>3</w:t>
            </w:r>
          </w:p>
        </w:tc>
        <w:tc>
          <w:tcPr>
            <w:tcW w:w="2835" w:type="dxa"/>
            <w:vAlign w:val="center"/>
          </w:tcPr>
          <w:p w:rsidR="00490CA8" w:rsidRPr="009D618A" w:rsidRDefault="009D618A">
            <w:pPr>
              <w:spacing w:after="20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proofErr w:type="spellStart"/>
            <w:r w:rsidRPr="00A61B93">
              <w:rPr>
                <w:rFonts w:asciiTheme="majorHAnsi" w:hAnsiTheme="majorHAnsi" w:cstheme="majorHAnsi"/>
                <w:sz w:val="24"/>
                <w:szCs w:val="24"/>
              </w:rPr>
              <w:t>Skaner</w:t>
            </w:r>
            <w:proofErr w:type="spellEnd"/>
            <w:r w:rsidRPr="00A61B93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A61B93">
              <w:rPr>
                <w:rFonts w:asciiTheme="majorHAnsi" w:hAnsiTheme="majorHAnsi" w:cstheme="majorHAnsi"/>
                <w:sz w:val="24"/>
                <w:szCs w:val="24"/>
              </w:rPr>
              <w:t>żył</w:t>
            </w:r>
            <w:proofErr w:type="spellEnd"/>
          </w:p>
        </w:tc>
        <w:tc>
          <w:tcPr>
            <w:tcW w:w="1276" w:type="dxa"/>
            <w:vAlign w:val="center"/>
          </w:tcPr>
          <w:p w:rsidR="00490CA8" w:rsidRPr="006638C2" w:rsidRDefault="00CF2E23">
            <w:pPr>
              <w:spacing w:after="20"/>
              <w:rPr>
                <w:rFonts w:asciiTheme="majorHAnsi" w:hAnsiTheme="majorHAnsi" w:cstheme="majorHAnsi"/>
                <w:sz w:val="24"/>
                <w:szCs w:val="24"/>
              </w:rPr>
            </w:pPr>
            <w:r w:rsidRPr="006638C2">
              <w:rPr>
                <w:rFonts w:asciiTheme="majorHAnsi" w:hAnsiTheme="majorHAnsi" w:cstheme="majorHAnsi"/>
                <w:sz w:val="24"/>
                <w:szCs w:val="24"/>
              </w:rPr>
              <w:t xml:space="preserve">1 </w:t>
            </w:r>
            <w:proofErr w:type="spellStart"/>
            <w:r w:rsidRPr="006638C2">
              <w:rPr>
                <w:rFonts w:asciiTheme="majorHAnsi" w:hAnsiTheme="majorHAnsi" w:cstheme="majorHAnsi"/>
                <w:sz w:val="24"/>
                <w:szCs w:val="24"/>
              </w:rPr>
              <w:t>szt</w:t>
            </w:r>
            <w:proofErr w:type="spellEnd"/>
            <w:r w:rsidRPr="006638C2">
              <w:rPr>
                <w:rFonts w:asciiTheme="majorHAnsi" w:hAnsiTheme="majorHAnsi" w:cstheme="majorHAnsi"/>
                <w:sz w:val="24"/>
                <w:szCs w:val="24"/>
              </w:rPr>
              <w:t>.</w:t>
            </w:r>
          </w:p>
        </w:tc>
        <w:tc>
          <w:tcPr>
            <w:tcW w:w="5238" w:type="dxa"/>
            <w:vAlign w:val="center"/>
          </w:tcPr>
          <w:p w:rsidR="00490CA8" w:rsidRPr="009D618A" w:rsidRDefault="00CF2E23">
            <w:pPr>
              <w:spacing w:after="20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9D618A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bezkontaktowa wizualizacja żył w czasie rzeczywistym z użyciem bliskiej podczerwieni; projekcja obrazu bezpośrednio na skórę; co najmniej 3 tryby lub kolory obrazu; co najmniej 3 poziomy jasności; możliwość odwrócenia obrazu; wskazanie głębokości lub funkcja ułatwiająca ocenę położenia naczynia; urządzenie przenośne o masie części ręcznej maks. 0,8 kg; praca akumulatorowa min. 2 godz.; mobilny stojak z regulacją wysokości i kołami z blokadą; zasilacz/ładowarka; deklaracja zgodności UE i CE</w:t>
            </w:r>
          </w:p>
        </w:tc>
      </w:tr>
      <w:tr w:rsidR="00490CA8" w:rsidRPr="009D618A" w:rsidTr="006638C2">
        <w:trPr>
          <w:jc w:val="center"/>
        </w:trPr>
        <w:tc>
          <w:tcPr>
            <w:tcW w:w="851" w:type="dxa"/>
            <w:vAlign w:val="center"/>
          </w:tcPr>
          <w:p w:rsidR="00490CA8" w:rsidRPr="006638C2" w:rsidRDefault="00CF2E23">
            <w:pPr>
              <w:spacing w:after="20"/>
              <w:rPr>
                <w:rFonts w:asciiTheme="majorHAnsi" w:hAnsiTheme="majorHAnsi" w:cstheme="majorHAnsi"/>
                <w:sz w:val="24"/>
                <w:szCs w:val="24"/>
              </w:rPr>
            </w:pPr>
            <w:r w:rsidRPr="006638C2">
              <w:rPr>
                <w:rFonts w:asciiTheme="majorHAnsi" w:hAnsiTheme="majorHAnsi" w:cstheme="majorHAnsi"/>
                <w:sz w:val="24"/>
                <w:szCs w:val="24"/>
              </w:rPr>
              <w:t>4</w:t>
            </w:r>
          </w:p>
        </w:tc>
        <w:tc>
          <w:tcPr>
            <w:tcW w:w="2835" w:type="dxa"/>
            <w:vAlign w:val="center"/>
          </w:tcPr>
          <w:p w:rsidR="00490CA8" w:rsidRPr="009D618A" w:rsidRDefault="009D618A">
            <w:pPr>
              <w:spacing w:after="20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proofErr w:type="spellStart"/>
            <w:r w:rsidRPr="00A61B93">
              <w:rPr>
                <w:rFonts w:asciiTheme="majorHAnsi" w:hAnsiTheme="majorHAnsi" w:cstheme="majorHAnsi"/>
                <w:sz w:val="24"/>
                <w:szCs w:val="24"/>
              </w:rPr>
              <w:t>Analizator</w:t>
            </w:r>
            <w:proofErr w:type="spellEnd"/>
            <w:r w:rsidRPr="00A61B93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A61B93">
              <w:rPr>
                <w:rFonts w:asciiTheme="majorHAnsi" w:hAnsiTheme="majorHAnsi" w:cstheme="majorHAnsi"/>
                <w:sz w:val="24"/>
                <w:szCs w:val="24"/>
              </w:rPr>
              <w:t>składu</w:t>
            </w:r>
            <w:proofErr w:type="spellEnd"/>
            <w:r w:rsidRPr="00A61B93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A61B93">
              <w:rPr>
                <w:rFonts w:asciiTheme="majorHAnsi" w:hAnsiTheme="majorHAnsi" w:cstheme="majorHAnsi"/>
                <w:sz w:val="24"/>
                <w:szCs w:val="24"/>
              </w:rPr>
              <w:t>masy</w:t>
            </w:r>
            <w:proofErr w:type="spellEnd"/>
            <w:r w:rsidRPr="00A61B93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A61B93">
              <w:rPr>
                <w:rFonts w:asciiTheme="majorHAnsi" w:hAnsiTheme="majorHAnsi" w:cstheme="majorHAnsi"/>
                <w:sz w:val="24"/>
                <w:szCs w:val="24"/>
              </w:rPr>
              <w:t>ciała</w:t>
            </w:r>
            <w:proofErr w:type="spellEnd"/>
          </w:p>
        </w:tc>
        <w:tc>
          <w:tcPr>
            <w:tcW w:w="1276" w:type="dxa"/>
            <w:vAlign w:val="center"/>
          </w:tcPr>
          <w:p w:rsidR="00490CA8" w:rsidRPr="006638C2" w:rsidRDefault="00CF2E23">
            <w:pPr>
              <w:spacing w:after="20"/>
              <w:rPr>
                <w:rFonts w:asciiTheme="majorHAnsi" w:hAnsiTheme="majorHAnsi" w:cstheme="majorHAnsi"/>
                <w:sz w:val="24"/>
                <w:szCs w:val="24"/>
              </w:rPr>
            </w:pPr>
            <w:r w:rsidRPr="006638C2">
              <w:rPr>
                <w:rFonts w:asciiTheme="majorHAnsi" w:hAnsiTheme="majorHAnsi" w:cstheme="majorHAnsi"/>
                <w:sz w:val="24"/>
                <w:szCs w:val="24"/>
              </w:rPr>
              <w:t xml:space="preserve">1 </w:t>
            </w:r>
            <w:proofErr w:type="spellStart"/>
            <w:r w:rsidRPr="006638C2">
              <w:rPr>
                <w:rFonts w:asciiTheme="majorHAnsi" w:hAnsiTheme="majorHAnsi" w:cstheme="majorHAnsi"/>
                <w:sz w:val="24"/>
                <w:szCs w:val="24"/>
              </w:rPr>
              <w:t>szt</w:t>
            </w:r>
            <w:proofErr w:type="spellEnd"/>
            <w:r w:rsidRPr="006638C2">
              <w:rPr>
                <w:rFonts w:asciiTheme="majorHAnsi" w:hAnsiTheme="majorHAnsi" w:cstheme="majorHAnsi"/>
                <w:sz w:val="24"/>
                <w:szCs w:val="24"/>
              </w:rPr>
              <w:t>.</w:t>
            </w:r>
          </w:p>
        </w:tc>
        <w:tc>
          <w:tcPr>
            <w:tcW w:w="5238" w:type="dxa"/>
            <w:vAlign w:val="center"/>
          </w:tcPr>
          <w:p w:rsidR="00490CA8" w:rsidRPr="009D618A" w:rsidRDefault="00CF2E23">
            <w:pPr>
              <w:spacing w:after="20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9D618A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 xml:space="preserve">pomiar </w:t>
            </w:r>
            <w:proofErr w:type="spellStart"/>
            <w:r w:rsidRPr="009D618A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bioimpedancji</w:t>
            </w:r>
            <w:proofErr w:type="spellEnd"/>
            <w:r w:rsidRPr="009D618A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 xml:space="preserve"> w układzie co najmniej czteroelektrodowym; pomiar wieloczęstotliwościowy obejmujący co najmniej częstotliwości z przedziału 5-200 kHz; możliwość badania pacjenta w pozycji leżącej i siedzącej; zakres impedancji obejmujący co najmniej 20-1500 </w:t>
            </w:r>
            <w:r w:rsidRPr="006638C2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Ω</w:t>
            </w:r>
            <w:r w:rsidRPr="009D618A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; wyliczanie co najmniej: masy tłuszczowej, beztłuszczowej masy ciała, całkowitej wody ustrojowej, BMI i podstawowej przemiany materii; możliwość zapisu, prezentacji i eksportu raportu; oprogramowanie i licencja bez dodatkowych obowiązkowych opłat przez min. okres trwałości projektu; komplet elektrod i akcesoriów startowych; deklaracja zgodności UE i CE</w:t>
            </w:r>
          </w:p>
        </w:tc>
      </w:tr>
      <w:tr w:rsidR="00490CA8" w:rsidRPr="009D618A" w:rsidTr="006638C2">
        <w:trPr>
          <w:jc w:val="center"/>
        </w:trPr>
        <w:tc>
          <w:tcPr>
            <w:tcW w:w="851" w:type="dxa"/>
            <w:vAlign w:val="center"/>
          </w:tcPr>
          <w:p w:rsidR="00490CA8" w:rsidRPr="006638C2" w:rsidRDefault="00CF2E23">
            <w:pPr>
              <w:spacing w:after="20"/>
              <w:rPr>
                <w:rFonts w:asciiTheme="majorHAnsi" w:hAnsiTheme="majorHAnsi" w:cstheme="majorHAnsi"/>
                <w:sz w:val="24"/>
                <w:szCs w:val="24"/>
              </w:rPr>
            </w:pPr>
            <w:r w:rsidRPr="006638C2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5</w:t>
            </w:r>
          </w:p>
        </w:tc>
        <w:tc>
          <w:tcPr>
            <w:tcW w:w="2835" w:type="dxa"/>
            <w:vAlign w:val="center"/>
          </w:tcPr>
          <w:p w:rsidR="00490CA8" w:rsidRPr="009D618A" w:rsidRDefault="009D618A">
            <w:pPr>
              <w:spacing w:after="20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B24E80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Urządzenie do badania wskaźnika ABI</w:t>
            </w:r>
          </w:p>
        </w:tc>
        <w:tc>
          <w:tcPr>
            <w:tcW w:w="1276" w:type="dxa"/>
            <w:vAlign w:val="center"/>
          </w:tcPr>
          <w:p w:rsidR="00490CA8" w:rsidRPr="006638C2" w:rsidRDefault="00CF2E23">
            <w:pPr>
              <w:spacing w:after="20"/>
              <w:rPr>
                <w:rFonts w:asciiTheme="majorHAnsi" w:hAnsiTheme="majorHAnsi" w:cstheme="majorHAnsi"/>
                <w:sz w:val="24"/>
                <w:szCs w:val="24"/>
              </w:rPr>
            </w:pPr>
            <w:r w:rsidRPr="006638C2">
              <w:rPr>
                <w:rFonts w:asciiTheme="majorHAnsi" w:hAnsiTheme="majorHAnsi" w:cstheme="majorHAnsi"/>
                <w:sz w:val="24"/>
                <w:szCs w:val="24"/>
              </w:rPr>
              <w:t xml:space="preserve">1 </w:t>
            </w:r>
            <w:proofErr w:type="spellStart"/>
            <w:r w:rsidRPr="006638C2">
              <w:rPr>
                <w:rFonts w:asciiTheme="majorHAnsi" w:hAnsiTheme="majorHAnsi" w:cstheme="majorHAnsi"/>
                <w:sz w:val="24"/>
                <w:szCs w:val="24"/>
              </w:rPr>
              <w:t>szt</w:t>
            </w:r>
            <w:proofErr w:type="spellEnd"/>
            <w:r w:rsidRPr="006638C2">
              <w:rPr>
                <w:rFonts w:asciiTheme="majorHAnsi" w:hAnsiTheme="majorHAnsi" w:cstheme="majorHAnsi"/>
                <w:sz w:val="24"/>
                <w:szCs w:val="24"/>
              </w:rPr>
              <w:t>.</w:t>
            </w:r>
          </w:p>
        </w:tc>
        <w:tc>
          <w:tcPr>
            <w:tcW w:w="5238" w:type="dxa"/>
            <w:vAlign w:val="center"/>
          </w:tcPr>
          <w:p w:rsidR="00490CA8" w:rsidRPr="009D618A" w:rsidRDefault="00CF2E23">
            <w:pPr>
              <w:spacing w:after="20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9D618A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automatyczny jednoczesny pomiar ciśnienia na co najmniej trzech kończynach oraz automatyczne obliczenie ABI; czas badania maks. 5 minut; co najmniej 4 mankiety w rozmiarach umożliwiających badanie dorosłych; ekran dotykowy lub równoważny czytelny interfejs; prezentacja wartości ABI i ciśnień oraz krzywych tętna/oscylacji; automatyczne ostrzeżenie o wyniku nieprawidłowym lub tętnicach nieściśliwych; pamięć badań; możliwość wygenerowania raportu w PDF lub wydruku oraz eksportu danych; praca akumulatorowa lub sieciowa; torba lub wózek, jeżeli niezbędne do mobilnego użytkowania; deklaracja zgodności UE i CE</w:t>
            </w:r>
          </w:p>
        </w:tc>
      </w:tr>
      <w:tr w:rsidR="00490CA8" w:rsidRPr="009D618A" w:rsidTr="006638C2">
        <w:trPr>
          <w:jc w:val="center"/>
        </w:trPr>
        <w:tc>
          <w:tcPr>
            <w:tcW w:w="851" w:type="dxa"/>
            <w:vAlign w:val="center"/>
          </w:tcPr>
          <w:p w:rsidR="00490CA8" w:rsidRPr="006638C2" w:rsidRDefault="00CF2E23">
            <w:pPr>
              <w:spacing w:after="20"/>
              <w:rPr>
                <w:rFonts w:asciiTheme="majorHAnsi" w:hAnsiTheme="majorHAnsi" w:cstheme="majorHAnsi"/>
                <w:sz w:val="24"/>
                <w:szCs w:val="24"/>
              </w:rPr>
            </w:pPr>
            <w:r w:rsidRPr="006638C2">
              <w:rPr>
                <w:rFonts w:asciiTheme="majorHAnsi" w:hAnsiTheme="majorHAnsi" w:cstheme="majorHAnsi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490CA8" w:rsidRPr="009D618A" w:rsidRDefault="009D618A">
            <w:pPr>
              <w:spacing w:after="20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proofErr w:type="spellStart"/>
            <w:r w:rsidRPr="00A61B93">
              <w:rPr>
                <w:rFonts w:asciiTheme="majorHAnsi" w:hAnsiTheme="majorHAnsi" w:cstheme="majorHAnsi"/>
                <w:sz w:val="24"/>
                <w:szCs w:val="24"/>
              </w:rPr>
              <w:t>Podnośnik</w:t>
            </w:r>
            <w:proofErr w:type="spellEnd"/>
            <w:r w:rsidRPr="00A61B93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A61B93">
              <w:rPr>
                <w:rFonts w:asciiTheme="majorHAnsi" w:hAnsiTheme="majorHAnsi" w:cstheme="majorHAnsi"/>
                <w:sz w:val="24"/>
                <w:szCs w:val="24"/>
              </w:rPr>
              <w:t>podłogowy</w:t>
            </w:r>
            <w:proofErr w:type="spellEnd"/>
          </w:p>
        </w:tc>
        <w:tc>
          <w:tcPr>
            <w:tcW w:w="1276" w:type="dxa"/>
            <w:vAlign w:val="center"/>
          </w:tcPr>
          <w:p w:rsidR="00490CA8" w:rsidRPr="006638C2" w:rsidRDefault="00CF2E23">
            <w:pPr>
              <w:spacing w:after="20"/>
              <w:rPr>
                <w:rFonts w:asciiTheme="majorHAnsi" w:hAnsiTheme="majorHAnsi" w:cstheme="majorHAnsi"/>
                <w:sz w:val="24"/>
                <w:szCs w:val="24"/>
              </w:rPr>
            </w:pPr>
            <w:r w:rsidRPr="006638C2">
              <w:rPr>
                <w:rFonts w:asciiTheme="majorHAnsi" w:hAnsiTheme="majorHAnsi" w:cstheme="majorHAnsi"/>
                <w:sz w:val="24"/>
                <w:szCs w:val="24"/>
              </w:rPr>
              <w:t xml:space="preserve">1 </w:t>
            </w:r>
            <w:proofErr w:type="spellStart"/>
            <w:r w:rsidRPr="006638C2">
              <w:rPr>
                <w:rFonts w:asciiTheme="majorHAnsi" w:hAnsiTheme="majorHAnsi" w:cstheme="majorHAnsi"/>
                <w:sz w:val="24"/>
                <w:szCs w:val="24"/>
              </w:rPr>
              <w:t>szt</w:t>
            </w:r>
            <w:proofErr w:type="spellEnd"/>
            <w:r w:rsidRPr="006638C2">
              <w:rPr>
                <w:rFonts w:asciiTheme="majorHAnsi" w:hAnsiTheme="majorHAnsi" w:cstheme="majorHAnsi"/>
                <w:sz w:val="24"/>
                <w:szCs w:val="24"/>
              </w:rPr>
              <w:t>.</w:t>
            </w:r>
          </w:p>
        </w:tc>
        <w:tc>
          <w:tcPr>
            <w:tcW w:w="5238" w:type="dxa"/>
            <w:vAlign w:val="center"/>
          </w:tcPr>
          <w:p w:rsidR="00490CA8" w:rsidRPr="009D618A" w:rsidRDefault="00CF2E23">
            <w:pPr>
              <w:spacing w:after="20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9D618A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bezpieczne podnoszenie i transfer pacjenta; udźwig min. 180 kg; elektryczne podnoszenie i opuszczanie z pilotem; awaryjne opuszczanie; przycisk zatrzymania awaryjnego; wskaźnik naładowania; regulowany rozstaw podstawy umożliwiający najazd na wózek; koła tylne z hamulcami; wieszak min. 4-punktowy; kompletne nosidło ogólnego zastosowania w rozmiarze uzgodnionym z Zamawiającym; zgodność z PN-EN ISO 10535 lub równoważną; instrukcja bezpiecznego użytkowania i szkolenie</w:t>
            </w:r>
          </w:p>
        </w:tc>
      </w:tr>
      <w:tr w:rsidR="00490CA8" w:rsidRPr="009D618A" w:rsidTr="006638C2">
        <w:trPr>
          <w:jc w:val="center"/>
        </w:trPr>
        <w:tc>
          <w:tcPr>
            <w:tcW w:w="851" w:type="dxa"/>
            <w:vAlign w:val="center"/>
          </w:tcPr>
          <w:p w:rsidR="00490CA8" w:rsidRPr="006638C2" w:rsidRDefault="00CF2E23">
            <w:pPr>
              <w:spacing w:after="20"/>
              <w:rPr>
                <w:rFonts w:asciiTheme="majorHAnsi" w:hAnsiTheme="majorHAnsi" w:cstheme="majorHAnsi"/>
                <w:sz w:val="24"/>
                <w:szCs w:val="24"/>
              </w:rPr>
            </w:pPr>
            <w:r w:rsidRPr="006638C2">
              <w:rPr>
                <w:rFonts w:asciiTheme="majorHAnsi" w:hAnsiTheme="majorHAnsi" w:cstheme="majorHAnsi"/>
                <w:sz w:val="24"/>
                <w:szCs w:val="24"/>
              </w:rPr>
              <w:t>7</w:t>
            </w:r>
          </w:p>
        </w:tc>
        <w:tc>
          <w:tcPr>
            <w:tcW w:w="2835" w:type="dxa"/>
            <w:vAlign w:val="center"/>
          </w:tcPr>
          <w:p w:rsidR="00490CA8" w:rsidRPr="009D618A" w:rsidRDefault="009D618A">
            <w:pPr>
              <w:spacing w:after="20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proofErr w:type="spellStart"/>
            <w:r w:rsidRPr="00A61B93">
              <w:rPr>
                <w:rFonts w:asciiTheme="majorHAnsi" w:hAnsiTheme="majorHAnsi" w:cstheme="majorHAnsi"/>
                <w:sz w:val="24"/>
                <w:szCs w:val="24"/>
              </w:rPr>
              <w:t>Krzesło</w:t>
            </w:r>
            <w:proofErr w:type="spellEnd"/>
            <w:r w:rsidRPr="00A61B93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A61B93">
              <w:rPr>
                <w:rFonts w:asciiTheme="majorHAnsi" w:hAnsiTheme="majorHAnsi" w:cstheme="majorHAnsi"/>
                <w:sz w:val="24"/>
                <w:szCs w:val="24"/>
              </w:rPr>
              <w:t>ewakuacyjne</w:t>
            </w:r>
            <w:proofErr w:type="spellEnd"/>
          </w:p>
        </w:tc>
        <w:tc>
          <w:tcPr>
            <w:tcW w:w="1276" w:type="dxa"/>
            <w:vAlign w:val="center"/>
          </w:tcPr>
          <w:p w:rsidR="00490CA8" w:rsidRPr="006638C2" w:rsidRDefault="00CF2E23">
            <w:pPr>
              <w:spacing w:after="20"/>
              <w:rPr>
                <w:rFonts w:asciiTheme="majorHAnsi" w:hAnsiTheme="majorHAnsi" w:cstheme="majorHAnsi"/>
                <w:sz w:val="24"/>
                <w:szCs w:val="24"/>
              </w:rPr>
            </w:pPr>
            <w:r w:rsidRPr="006638C2">
              <w:rPr>
                <w:rFonts w:asciiTheme="majorHAnsi" w:hAnsiTheme="majorHAnsi" w:cstheme="majorHAnsi"/>
                <w:sz w:val="24"/>
                <w:szCs w:val="24"/>
              </w:rPr>
              <w:t xml:space="preserve">1 </w:t>
            </w:r>
            <w:proofErr w:type="spellStart"/>
            <w:r w:rsidRPr="006638C2">
              <w:rPr>
                <w:rFonts w:asciiTheme="majorHAnsi" w:hAnsiTheme="majorHAnsi" w:cstheme="majorHAnsi"/>
                <w:sz w:val="24"/>
                <w:szCs w:val="24"/>
              </w:rPr>
              <w:t>szt</w:t>
            </w:r>
            <w:proofErr w:type="spellEnd"/>
            <w:r w:rsidRPr="006638C2">
              <w:rPr>
                <w:rFonts w:asciiTheme="majorHAnsi" w:hAnsiTheme="majorHAnsi" w:cstheme="majorHAnsi"/>
                <w:sz w:val="24"/>
                <w:szCs w:val="24"/>
              </w:rPr>
              <w:t>.</w:t>
            </w:r>
          </w:p>
        </w:tc>
        <w:tc>
          <w:tcPr>
            <w:tcW w:w="5238" w:type="dxa"/>
            <w:vAlign w:val="center"/>
          </w:tcPr>
          <w:p w:rsidR="00490CA8" w:rsidRPr="009D618A" w:rsidRDefault="00CF2E23">
            <w:pPr>
              <w:spacing w:after="20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9D618A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 xml:space="preserve">przeznaczone do ewakuacji osoby o ograniczonej mobilności w dół po schodach przez jednego operatora na schodach prostych; udźwig min. 180 kg; system gąsienicowy lub równoważny ograniczający wysiłek operatora; pasy zabezpieczające min. w obrębie tułowia i nóg; uchwyty transportowe; koła do jazdy po powierzchni płaskiej; konstrukcja składana; masa </w:t>
            </w:r>
            <w:r w:rsidRPr="009D618A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lastRenderedPageBreak/>
              <w:t>własna maks. 18 kg; oznaczenia instruktażowe na urządzeniu; pokrowiec i uchwyt ścienny; szkolenie praktyczne</w:t>
            </w:r>
          </w:p>
        </w:tc>
      </w:tr>
      <w:tr w:rsidR="00490CA8" w:rsidRPr="009D618A" w:rsidTr="006638C2">
        <w:trPr>
          <w:jc w:val="center"/>
        </w:trPr>
        <w:tc>
          <w:tcPr>
            <w:tcW w:w="851" w:type="dxa"/>
            <w:vAlign w:val="center"/>
          </w:tcPr>
          <w:p w:rsidR="00490CA8" w:rsidRPr="006638C2" w:rsidRDefault="00CF2E23">
            <w:pPr>
              <w:spacing w:after="20"/>
              <w:rPr>
                <w:rFonts w:asciiTheme="majorHAnsi" w:hAnsiTheme="majorHAnsi" w:cstheme="majorHAnsi"/>
                <w:sz w:val="24"/>
                <w:szCs w:val="24"/>
              </w:rPr>
            </w:pPr>
            <w:r w:rsidRPr="006638C2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8</w:t>
            </w:r>
          </w:p>
        </w:tc>
        <w:tc>
          <w:tcPr>
            <w:tcW w:w="2835" w:type="dxa"/>
            <w:vAlign w:val="center"/>
          </w:tcPr>
          <w:p w:rsidR="00490CA8" w:rsidRPr="006638C2" w:rsidRDefault="009D618A">
            <w:pPr>
              <w:spacing w:after="20"/>
              <w:rPr>
                <w:rFonts w:asciiTheme="majorHAnsi" w:hAnsiTheme="majorHAnsi" w:cstheme="majorHAnsi"/>
                <w:sz w:val="24"/>
                <w:szCs w:val="24"/>
              </w:rPr>
            </w:pPr>
            <w:r w:rsidRPr="00A61B93">
              <w:rPr>
                <w:rFonts w:asciiTheme="majorHAnsi" w:hAnsiTheme="majorHAnsi" w:cstheme="majorHAnsi"/>
                <w:sz w:val="24"/>
                <w:szCs w:val="24"/>
              </w:rPr>
              <w:t xml:space="preserve">Mata </w:t>
            </w:r>
            <w:proofErr w:type="spellStart"/>
            <w:r w:rsidRPr="00A61B93">
              <w:rPr>
                <w:rFonts w:asciiTheme="majorHAnsi" w:hAnsiTheme="majorHAnsi" w:cstheme="majorHAnsi"/>
                <w:sz w:val="24"/>
                <w:szCs w:val="24"/>
              </w:rPr>
              <w:t>ewakuacyjna</w:t>
            </w:r>
            <w:proofErr w:type="spellEnd"/>
          </w:p>
        </w:tc>
        <w:tc>
          <w:tcPr>
            <w:tcW w:w="1276" w:type="dxa"/>
            <w:vAlign w:val="center"/>
          </w:tcPr>
          <w:p w:rsidR="00490CA8" w:rsidRPr="006638C2" w:rsidRDefault="006638C2">
            <w:pPr>
              <w:spacing w:after="2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2</w:t>
            </w:r>
            <w:r w:rsidR="00CF2E23" w:rsidRPr="006638C2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="00CF2E23" w:rsidRPr="006638C2">
              <w:rPr>
                <w:rFonts w:asciiTheme="majorHAnsi" w:hAnsiTheme="majorHAnsi" w:cstheme="majorHAnsi"/>
                <w:sz w:val="24"/>
                <w:szCs w:val="24"/>
              </w:rPr>
              <w:t>szt</w:t>
            </w:r>
            <w:proofErr w:type="spellEnd"/>
            <w:r w:rsidR="00CF2E23" w:rsidRPr="006638C2">
              <w:rPr>
                <w:rFonts w:asciiTheme="majorHAnsi" w:hAnsiTheme="majorHAnsi" w:cstheme="majorHAnsi"/>
                <w:sz w:val="24"/>
                <w:szCs w:val="24"/>
              </w:rPr>
              <w:t>.</w:t>
            </w:r>
          </w:p>
        </w:tc>
        <w:tc>
          <w:tcPr>
            <w:tcW w:w="5238" w:type="dxa"/>
            <w:vAlign w:val="center"/>
          </w:tcPr>
          <w:p w:rsidR="00490CA8" w:rsidRPr="009D618A" w:rsidRDefault="00CF2E23">
            <w:pPr>
              <w:spacing w:after="20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9D618A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przeznaczona do ewakuacji osoby leżącej po podłodze i schodach; udźwig min. 150 kg; co najmniej 3 pasy zabezpieczające; powierzchnia spodnia o obniżonym tarciu; uchwyty umożliwiające ciągnięcie przez min. dwie osoby; materiał trudnopalny lub spełniający równoważne wymagania bezpieczeństwa, odporny na rozdarcie i możliwy do dezynfekcji; wymiary odpowiednie dla osoby dorosłej; instrukcja w języku polskim</w:t>
            </w:r>
          </w:p>
        </w:tc>
      </w:tr>
      <w:tr w:rsidR="00490CA8" w:rsidRPr="009D618A" w:rsidTr="006638C2">
        <w:trPr>
          <w:jc w:val="center"/>
        </w:trPr>
        <w:tc>
          <w:tcPr>
            <w:tcW w:w="851" w:type="dxa"/>
            <w:vAlign w:val="center"/>
          </w:tcPr>
          <w:p w:rsidR="00490CA8" w:rsidRPr="006638C2" w:rsidRDefault="00CF2E23">
            <w:pPr>
              <w:spacing w:after="20"/>
              <w:rPr>
                <w:rFonts w:asciiTheme="majorHAnsi" w:hAnsiTheme="majorHAnsi" w:cstheme="majorHAnsi"/>
                <w:sz w:val="24"/>
                <w:szCs w:val="24"/>
              </w:rPr>
            </w:pPr>
            <w:r w:rsidRPr="006638C2">
              <w:rPr>
                <w:rFonts w:asciiTheme="majorHAnsi" w:hAnsiTheme="majorHAnsi" w:cstheme="majorHAnsi"/>
                <w:sz w:val="24"/>
                <w:szCs w:val="24"/>
              </w:rPr>
              <w:t>9</w:t>
            </w:r>
          </w:p>
        </w:tc>
        <w:tc>
          <w:tcPr>
            <w:tcW w:w="2835" w:type="dxa"/>
            <w:vAlign w:val="center"/>
          </w:tcPr>
          <w:p w:rsidR="00490CA8" w:rsidRPr="006638C2" w:rsidRDefault="009D618A">
            <w:pPr>
              <w:spacing w:after="20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61B93">
              <w:rPr>
                <w:rFonts w:asciiTheme="majorHAnsi" w:hAnsiTheme="majorHAnsi" w:cstheme="majorHAnsi"/>
                <w:sz w:val="24"/>
                <w:szCs w:val="24"/>
              </w:rPr>
              <w:t>Wózek</w:t>
            </w:r>
            <w:proofErr w:type="spellEnd"/>
            <w:r w:rsidRPr="00A61B93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A61B93">
              <w:rPr>
                <w:rFonts w:asciiTheme="majorHAnsi" w:hAnsiTheme="majorHAnsi" w:cstheme="majorHAnsi"/>
                <w:sz w:val="24"/>
                <w:szCs w:val="24"/>
              </w:rPr>
              <w:t>dla</w:t>
            </w:r>
            <w:proofErr w:type="spellEnd"/>
            <w:r w:rsidRPr="00A61B93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A61B93">
              <w:rPr>
                <w:rFonts w:asciiTheme="majorHAnsi" w:hAnsiTheme="majorHAnsi" w:cstheme="majorHAnsi"/>
                <w:sz w:val="24"/>
                <w:szCs w:val="24"/>
              </w:rPr>
              <w:t>pacjentów</w:t>
            </w:r>
            <w:proofErr w:type="spellEnd"/>
            <w:r w:rsidRPr="00A61B93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A61B93">
              <w:rPr>
                <w:rFonts w:asciiTheme="majorHAnsi" w:hAnsiTheme="majorHAnsi" w:cstheme="majorHAnsi"/>
                <w:sz w:val="24"/>
                <w:szCs w:val="24"/>
              </w:rPr>
              <w:t>bariatrycznych</w:t>
            </w:r>
            <w:proofErr w:type="spellEnd"/>
          </w:p>
        </w:tc>
        <w:tc>
          <w:tcPr>
            <w:tcW w:w="1276" w:type="dxa"/>
            <w:vAlign w:val="center"/>
          </w:tcPr>
          <w:p w:rsidR="00490CA8" w:rsidRPr="006638C2" w:rsidRDefault="00CF2E23">
            <w:pPr>
              <w:spacing w:after="20"/>
              <w:rPr>
                <w:rFonts w:asciiTheme="majorHAnsi" w:hAnsiTheme="majorHAnsi" w:cstheme="majorHAnsi"/>
                <w:sz w:val="24"/>
                <w:szCs w:val="24"/>
              </w:rPr>
            </w:pPr>
            <w:r w:rsidRPr="006638C2">
              <w:rPr>
                <w:rFonts w:asciiTheme="majorHAnsi" w:hAnsiTheme="majorHAnsi" w:cstheme="majorHAnsi"/>
                <w:sz w:val="24"/>
                <w:szCs w:val="24"/>
              </w:rPr>
              <w:t>1 szt.</w:t>
            </w:r>
          </w:p>
        </w:tc>
        <w:tc>
          <w:tcPr>
            <w:tcW w:w="5238" w:type="dxa"/>
            <w:vAlign w:val="center"/>
          </w:tcPr>
          <w:p w:rsidR="00490CA8" w:rsidRPr="009D618A" w:rsidRDefault="00CF2E23">
            <w:pPr>
              <w:spacing w:after="20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9D618A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udźwig min. 200 kg; szerokość siedziska min. 55 cm; rama składana; tapicerka zmywalna; podłokietniki odchylane lub zdejmowane; podnóżki uchylne i zdejmowane, z regulacją długości; hamulce dla użytkownika i hamulce dla osoby towarzyszącej; koła tylne pełne lub pneumatyczne z ciągami; pas bezpieczeństwa; zabezpieczenie przed wywróceniem; deklaracja zgodności UE i CE</w:t>
            </w:r>
          </w:p>
        </w:tc>
      </w:tr>
      <w:tr w:rsidR="00490CA8" w:rsidRPr="009D618A" w:rsidTr="006638C2">
        <w:trPr>
          <w:jc w:val="center"/>
        </w:trPr>
        <w:tc>
          <w:tcPr>
            <w:tcW w:w="851" w:type="dxa"/>
            <w:vAlign w:val="center"/>
          </w:tcPr>
          <w:p w:rsidR="00490CA8" w:rsidRPr="006638C2" w:rsidRDefault="00CF2E23">
            <w:pPr>
              <w:spacing w:after="20"/>
              <w:rPr>
                <w:rFonts w:asciiTheme="majorHAnsi" w:hAnsiTheme="majorHAnsi" w:cstheme="majorHAnsi"/>
                <w:sz w:val="24"/>
                <w:szCs w:val="24"/>
              </w:rPr>
            </w:pPr>
            <w:r w:rsidRPr="006638C2">
              <w:rPr>
                <w:rFonts w:asciiTheme="majorHAnsi" w:hAnsiTheme="majorHAnsi" w:cstheme="majorHAnsi"/>
                <w:sz w:val="24"/>
                <w:szCs w:val="24"/>
              </w:rPr>
              <w:t>10</w:t>
            </w:r>
          </w:p>
        </w:tc>
        <w:tc>
          <w:tcPr>
            <w:tcW w:w="2835" w:type="dxa"/>
            <w:vAlign w:val="center"/>
          </w:tcPr>
          <w:p w:rsidR="00490CA8" w:rsidRPr="006638C2" w:rsidRDefault="009D618A">
            <w:pPr>
              <w:spacing w:after="20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61B93">
              <w:rPr>
                <w:rFonts w:asciiTheme="majorHAnsi" w:hAnsiTheme="majorHAnsi" w:cstheme="majorHAnsi"/>
                <w:sz w:val="24"/>
                <w:szCs w:val="24"/>
              </w:rPr>
              <w:t>Wózek</w:t>
            </w:r>
            <w:proofErr w:type="spellEnd"/>
            <w:r w:rsidRPr="00A61B93">
              <w:rPr>
                <w:rFonts w:asciiTheme="majorHAnsi" w:hAnsiTheme="majorHAnsi" w:cstheme="majorHAnsi"/>
                <w:sz w:val="24"/>
                <w:szCs w:val="24"/>
              </w:rPr>
              <w:t xml:space="preserve"> inwalidzki</w:t>
            </w:r>
            <w:bookmarkStart w:id="0" w:name="_GoBack"/>
            <w:bookmarkEnd w:id="0"/>
          </w:p>
        </w:tc>
        <w:tc>
          <w:tcPr>
            <w:tcW w:w="1276" w:type="dxa"/>
            <w:vAlign w:val="center"/>
          </w:tcPr>
          <w:p w:rsidR="00490CA8" w:rsidRPr="006638C2" w:rsidRDefault="00CF2E23">
            <w:pPr>
              <w:spacing w:after="20"/>
              <w:rPr>
                <w:rFonts w:asciiTheme="majorHAnsi" w:hAnsiTheme="majorHAnsi" w:cstheme="majorHAnsi"/>
                <w:sz w:val="24"/>
                <w:szCs w:val="24"/>
              </w:rPr>
            </w:pPr>
            <w:r w:rsidRPr="006638C2">
              <w:rPr>
                <w:rFonts w:asciiTheme="majorHAnsi" w:hAnsiTheme="majorHAnsi" w:cstheme="majorHAnsi"/>
                <w:sz w:val="24"/>
                <w:szCs w:val="24"/>
              </w:rPr>
              <w:t>1 szt.</w:t>
            </w:r>
          </w:p>
        </w:tc>
        <w:tc>
          <w:tcPr>
            <w:tcW w:w="5238" w:type="dxa"/>
            <w:vAlign w:val="center"/>
          </w:tcPr>
          <w:p w:rsidR="00490CA8" w:rsidRPr="009D618A" w:rsidRDefault="00CF2E23">
            <w:pPr>
              <w:spacing w:after="20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9D618A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 xml:space="preserve">rama aluminiowa składana; udźwig min. 120 kg; masa wózka maks. 17 kg; szerokość siedziska do wyboru z co najmniej dwóch wariantów w zakresie 42-48 cm; podłokietniki odchylane lub zdejmowane; podnóżki uchylne i zdejmowane, z regulacją długości; hamulce postojowe i hamulce dla osoby towarzyszącej; pas bezpieczeństwa; koła </w:t>
            </w:r>
            <w:proofErr w:type="spellStart"/>
            <w:r w:rsidRPr="009D618A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antywywrotne</w:t>
            </w:r>
            <w:proofErr w:type="spellEnd"/>
            <w:r w:rsidRPr="009D618A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; deklaracja zgodności UE i CE</w:t>
            </w:r>
          </w:p>
        </w:tc>
      </w:tr>
    </w:tbl>
    <w:p w:rsidR="00490CA8" w:rsidRPr="009D618A" w:rsidRDefault="00CF2E23">
      <w:pPr>
        <w:pStyle w:val="Nagwek1"/>
        <w:rPr>
          <w:rFonts w:cstheme="majorHAnsi"/>
          <w:szCs w:val="24"/>
          <w:lang w:val="pl-PL"/>
        </w:rPr>
      </w:pPr>
      <w:r w:rsidRPr="009D618A">
        <w:rPr>
          <w:rFonts w:cstheme="majorHAnsi"/>
          <w:b w:val="0"/>
          <w:szCs w:val="24"/>
          <w:lang w:val="pl-PL"/>
        </w:rPr>
        <w:t>Wymagania wspólne</w:t>
      </w:r>
    </w:p>
    <w:p w:rsidR="00490CA8" w:rsidRPr="009D618A" w:rsidRDefault="00CF2E23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9D618A">
        <w:rPr>
          <w:rFonts w:asciiTheme="majorHAnsi" w:hAnsiTheme="majorHAnsi" w:cstheme="majorHAnsi"/>
          <w:color w:val="000000"/>
          <w:sz w:val="24"/>
          <w:szCs w:val="24"/>
          <w:lang w:val="pl-PL"/>
        </w:rPr>
        <w:t>• sprzęt fabrycznie nowy, nieużywany, rok produkcji nie wcześniejszy niż 2025, kompletny i gotowy do użytkowania;</w:t>
      </w:r>
    </w:p>
    <w:p w:rsidR="00490CA8" w:rsidRPr="009D618A" w:rsidRDefault="00CF2E23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9D618A">
        <w:rPr>
          <w:rFonts w:asciiTheme="majorHAnsi" w:hAnsiTheme="majorHAnsi" w:cstheme="majorHAnsi"/>
          <w:sz w:val="24"/>
          <w:szCs w:val="24"/>
          <w:lang w:val="pl-PL"/>
        </w:rPr>
        <w:t>• gwarancja nie krótsza niż 24 miesiące i nie dłuższa niż 60 miesięcy; serwis gwarancyjny na terytorium Polski; zgłoszenia e-mail;</w:t>
      </w:r>
    </w:p>
    <w:p w:rsidR="00490CA8" w:rsidRPr="009D618A" w:rsidRDefault="00CF2E23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9D618A">
        <w:rPr>
          <w:rFonts w:asciiTheme="majorHAnsi" w:hAnsiTheme="majorHAnsi" w:cstheme="majorHAnsi"/>
          <w:color w:val="000000"/>
          <w:sz w:val="24"/>
          <w:szCs w:val="24"/>
          <w:lang w:val="pl-PL"/>
        </w:rPr>
        <w:t>• dostawa obejmuje transport, ubezpieczenie, wniesienie, montaż, uruchomienie, test działania i szkolenie personelu, bez dodatkowych kosztów;</w:t>
      </w:r>
    </w:p>
    <w:p w:rsidR="00490CA8" w:rsidRPr="009D618A" w:rsidRDefault="00CF2E23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9D618A">
        <w:rPr>
          <w:rFonts w:asciiTheme="majorHAnsi" w:hAnsiTheme="majorHAnsi" w:cstheme="majorHAnsi"/>
          <w:color w:val="000000"/>
          <w:sz w:val="24"/>
          <w:szCs w:val="24"/>
          <w:lang w:val="pl-PL"/>
        </w:rPr>
        <w:t>• instrukcje obsługi i bezpieczeństwa w języku polskim; dokumentacja techniczna; karta gwarancyjna;</w:t>
      </w:r>
    </w:p>
    <w:p w:rsidR="00490CA8" w:rsidRPr="009D618A" w:rsidRDefault="00CF2E23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9D618A">
        <w:rPr>
          <w:rFonts w:asciiTheme="majorHAnsi" w:hAnsiTheme="majorHAnsi" w:cstheme="majorHAnsi"/>
          <w:color w:val="000000"/>
          <w:sz w:val="24"/>
          <w:szCs w:val="24"/>
          <w:lang w:val="pl-PL"/>
        </w:rPr>
        <w:t>• dla wyrobów medycznych: dokumenty potwierdzające zgodność z rozporządzeniem (UE) 2017/745 i ustawą o wyrobach medycznych;</w:t>
      </w:r>
    </w:p>
    <w:p w:rsidR="006638C2" w:rsidRPr="009D618A" w:rsidRDefault="006638C2">
      <w:pPr>
        <w:rPr>
          <w:rFonts w:asciiTheme="majorHAnsi" w:hAnsiTheme="majorHAnsi" w:cstheme="majorHAnsi"/>
          <w:color w:val="000000"/>
          <w:sz w:val="24"/>
          <w:szCs w:val="24"/>
          <w:lang w:val="pl-PL"/>
        </w:rPr>
      </w:pPr>
    </w:p>
    <w:p w:rsidR="006638C2" w:rsidRPr="009D618A" w:rsidRDefault="006638C2">
      <w:pPr>
        <w:rPr>
          <w:rFonts w:asciiTheme="majorHAnsi" w:hAnsiTheme="majorHAnsi" w:cstheme="majorHAnsi"/>
          <w:color w:val="000000"/>
          <w:sz w:val="24"/>
          <w:szCs w:val="24"/>
          <w:lang w:val="pl-PL"/>
        </w:rPr>
      </w:pPr>
    </w:p>
    <w:p w:rsidR="00490CA8" w:rsidRPr="009D618A" w:rsidRDefault="00CF2E23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9D618A">
        <w:rPr>
          <w:rFonts w:asciiTheme="majorHAnsi" w:hAnsiTheme="majorHAnsi" w:cstheme="majorHAnsi"/>
          <w:color w:val="000000"/>
          <w:sz w:val="24"/>
          <w:szCs w:val="24"/>
          <w:lang w:val="pl-PL"/>
        </w:rPr>
        <w:t>• materiały eksploatacyjne lub akcesoria niezbędne do rozpoczęcia pracy muszą być zawarte w cenie;</w:t>
      </w:r>
    </w:p>
    <w:p w:rsidR="00490CA8" w:rsidRPr="009D618A" w:rsidRDefault="00CF2E23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9D618A">
        <w:rPr>
          <w:rFonts w:asciiTheme="majorHAnsi" w:hAnsiTheme="majorHAnsi" w:cstheme="majorHAnsi"/>
          <w:color w:val="000000"/>
          <w:sz w:val="24"/>
          <w:szCs w:val="24"/>
          <w:lang w:val="pl-PL"/>
        </w:rPr>
        <w:t>• parametry graniczne muszą być potwierdzone kartą katalogową, instrukcją producenta albo oświadczeniem producenta; samo oświadczenie dystrybutora jest niewystarczające.</w:t>
      </w:r>
    </w:p>
    <w:sectPr w:rsidR="00490CA8" w:rsidRPr="009D618A" w:rsidSect="00034616">
      <w:headerReference w:type="default" r:id="rId9"/>
      <w:footerReference w:type="default" r:id="rId10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74D0" w:rsidRDefault="008174D0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8174D0" w:rsidRDefault="008174D0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Lato">
    <w:altName w:val="Calibri"/>
    <w:charset w:val="EE"/>
    <w:family w:val="swiss"/>
    <w:pitch w:val="variable"/>
    <w:sig w:usb0="00000001" w:usb1="4000604A" w:usb2="00000000" w:usb3="00000000" w:csb0="000000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0CA8" w:rsidRDefault="00490CA8">
    <w:pPr>
      <w:pStyle w:val="Stopka"/>
      <w:jc w:val="cen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74D0" w:rsidRDefault="008174D0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8174D0" w:rsidRDefault="008174D0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38C2" w:rsidRDefault="006638C2">
    <w:pPr>
      <w:pStyle w:val="Nagwek"/>
      <w:rPr>
        <w:rFonts w:hint="eastAsia"/>
      </w:rPr>
    </w:pPr>
    <w:r w:rsidRPr="009C786B">
      <w:rPr>
        <w:rFonts w:ascii="Lato" w:hAnsi="Lato"/>
        <w:b/>
        <w:bCs/>
        <w:noProof/>
        <w:sz w:val="32"/>
        <w:szCs w:val="32"/>
        <w:lang w:val="pl-PL" w:eastAsia="pl-PL"/>
      </w:rPr>
      <w:drawing>
        <wp:anchor distT="0" distB="0" distL="114300" distR="114300" simplePos="0" relativeHeight="251659264" behindDoc="0" locked="1" layoutInCell="1" allowOverlap="1" wp14:anchorId="246F78C6" wp14:editId="6379069D">
          <wp:simplePos x="0" y="0"/>
          <wp:positionH relativeFrom="page">
            <wp:posOffset>922020</wp:posOffset>
          </wp:positionH>
          <wp:positionV relativeFrom="paragraph">
            <wp:posOffset>-365760</wp:posOffset>
          </wp:positionV>
          <wp:extent cx="5759450" cy="795020"/>
          <wp:effectExtent l="0" t="0" r="0" b="5080"/>
          <wp:wrapSquare wrapText="bothSides"/>
          <wp:docPr id="1411234072" name="Obraz 2" descr="Obraz zawierający tekst, Czcionka, zrzut ekranu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1234072" name="Obraz 2" descr="Obraz zawierający tekst, Czcionka, zrzut ekranu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795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90CA8"/>
    <w:rsid w:val="006638C2"/>
    <w:rsid w:val="008174D0"/>
    <w:rsid w:val="00912EFF"/>
    <w:rsid w:val="009D618A"/>
    <w:rsid w:val="00AA1D8D"/>
    <w:rsid w:val="00B47730"/>
    <w:rsid w:val="00CB0664"/>
    <w:rsid w:val="00CF2E23"/>
    <w:rsid w:val="00D74DC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pPr>
      <w:spacing w:after="80" w:line="252" w:lineRule="auto"/>
    </w:pPr>
    <w:rPr>
      <w:rFonts w:ascii="Aptos" w:hAnsi="Aptos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3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pPr>
      <w:spacing w:after="80" w:line="252" w:lineRule="auto"/>
    </w:pPr>
    <w:rPr>
      <w:rFonts w:ascii="Aptos" w:hAnsi="Aptos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3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895FF55-0C82-4854-9A74-937BD93F20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871</Words>
  <Characters>5232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6091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Grzegorz Herman</cp:lastModifiedBy>
  <cp:revision>5</cp:revision>
  <dcterms:created xsi:type="dcterms:W3CDTF">2013-12-23T23:15:00Z</dcterms:created>
  <dcterms:modified xsi:type="dcterms:W3CDTF">2026-09-18T17:40:00Z</dcterms:modified>
  <cp:category/>
</cp:coreProperties>
</file>